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CF8612" w14:textId="77777777" w:rsidR="00600F0C" w:rsidRPr="00E558F7" w:rsidRDefault="00E558F7">
      <w:pPr>
        <w:jc w:val="center"/>
        <w:rPr>
          <w:rFonts w:ascii="Calibri" w:eastAsia="Calibri" w:hAnsi="Calibri" w:cs="Calibri"/>
          <w:b/>
          <w:color w:val="004687"/>
          <w:sz w:val="36"/>
          <w:szCs w:val="36"/>
          <w:lang w:val="en-US"/>
        </w:rPr>
      </w:pPr>
      <w:r w:rsidRPr="00E558F7">
        <w:rPr>
          <w:rFonts w:ascii="Calibri" w:eastAsia="Calibri" w:hAnsi="Calibri" w:cs="Calibri"/>
          <w:b/>
          <w:color w:val="004687"/>
          <w:sz w:val="36"/>
          <w:szCs w:val="36"/>
          <w:lang w:val="en-US"/>
        </w:rPr>
        <w:t>Robust, fast and modular measurement system for telemetric or wired applications</w:t>
      </w:r>
    </w:p>
    <w:p w14:paraId="25572EC4" w14:textId="77777777" w:rsidR="00600F0C" w:rsidRPr="00E558F7" w:rsidRDefault="00600F0C">
      <w:pPr>
        <w:jc w:val="center"/>
        <w:rPr>
          <w:rFonts w:ascii="Calibri" w:eastAsia="Calibri" w:hAnsi="Calibri" w:cs="Calibri"/>
          <w:b/>
          <w:color w:val="004687"/>
          <w:sz w:val="32"/>
          <w:szCs w:val="32"/>
          <w:lang w:val="en-US"/>
        </w:rPr>
      </w:pPr>
    </w:p>
    <w:p w14:paraId="1CA9E0F5" w14:textId="77777777" w:rsidR="00600F0C" w:rsidRPr="00E558F7" w:rsidRDefault="00874611">
      <w:pPr>
        <w:spacing w:line="360" w:lineRule="auto"/>
        <w:rPr>
          <w:rFonts w:ascii="Calibri" w:eastAsia="Calibri" w:hAnsi="Calibri" w:cs="Calibri"/>
          <w:sz w:val="22"/>
          <w:szCs w:val="22"/>
          <w:lang w:val="en-US"/>
        </w:rPr>
      </w:pPr>
      <w:r w:rsidRPr="00E558F7">
        <w:rPr>
          <w:rFonts w:ascii="Calibri" w:eastAsia="Calibri" w:hAnsi="Calibri" w:cs="Calibri"/>
          <w:b/>
          <w:noProof/>
          <w:lang w:val="en-US" w:eastAsia="en-US"/>
        </w:rPr>
        <w:drawing>
          <wp:inline distT="0" distB="0" distL="0" distR="0" wp14:anchorId="0B374E97" wp14:editId="63CE9C8B">
            <wp:extent cx="5762625" cy="3838575"/>
            <wp:effectExtent l="0" t="0" r="0" b="0"/>
            <wp:docPr id="4"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6"/>
                    <a:srcRect/>
                    <a:stretch>
                      <a:fillRect/>
                    </a:stretch>
                  </pic:blipFill>
                  <pic:spPr>
                    <a:xfrm>
                      <a:off x="0" y="0"/>
                      <a:ext cx="5762625" cy="3838575"/>
                    </a:xfrm>
                    <a:prstGeom prst="rect">
                      <a:avLst/>
                    </a:prstGeom>
                    <a:ln/>
                  </pic:spPr>
                </pic:pic>
              </a:graphicData>
            </a:graphic>
          </wp:inline>
        </w:drawing>
      </w:r>
    </w:p>
    <w:p w14:paraId="3C27E2FB" w14:textId="5060DEC0" w:rsidR="0066787D" w:rsidRDefault="00874611" w:rsidP="0090225D">
      <w:pPr>
        <w:spacing w:line="360" w:lineRule="auto"/>
        <w:rPr>
          <w:rFonts w:ascii="Calibri" w:eastAsia="Calibri" w:hAnsi="Calibri" w:cs="Calibri"/>
          <w:sz w:val="22"/>
          <w:szCs w:val="22"/>
          <w:lang w:val="en-US"/>
        </w:rPr>
      </w:pPr>
      <w:r w:rsidRPr="00E558F7">
        <w:rPr>
          <w:rFonts w:ascii="Calibri" w:eastAsia="Calibri" w:hAnsi="Calibri" w:cs="Calibri"/>
          <w:sz w:val="22"/>
          <w:szCs w:val="22"/>
          <w:lang w:val="en-US"/>
        </w:rPr>
        <w:t xml:space="preserve">Berlin, </w:t>
      </w:r>
      <w:r w:rsidR="00E558F7">
        <w:rPr>
          <w:rFonts w:ascii="Calibri" w:eastAsia="Calibri" w:hAnsi="Calibri" w:cs="Calibri"/>
          <w:sz w:val="22"/>
          <w:szCs w:val="22"/>
          <w:lang w:val="en-US"/>
        </w:rPr>
        <w:t xml:space="preserve">26 June </w:t>
      </w:r>
      <w:r w:rsidR="0090225D">
        <w:rPr>
          <w:rFonts w:ascii="Calibri" w:eastAsia="Calibri" w:hAnsi="Calibri" w:cs="Calibri"/>
          <w:sz w:val="22"/>
          <w:szCs w:val="22"/>
          <w:lang w:val="en-US"/>
        </w:rPr>
        <w:t xml:space="preserve">2018 – </w:t>
      </w:r>
      <w:r w:rsidR="0090225D" w:rsidRPr="0090225D">
        <w:rPr>
          <w:rFonts w:ascii="Calibri" w:eastAsia="Calibri" w:hAnsi="Calibri" w:cs="Calibri"/>
          <w:sz w:val="22"/>
          <w:szCs w:val="22"/>
          <w:lang w:val="en-US"/>
        </w:rPr>
        <w:t xml:space="preserve">At the </w:t>
      </w:r>
      <w:r w:rsidR="0066787D" w:rsidRPr="0090225D">
        <w:rPr>
          <w:rFonts w:ascii="Calibri" w:eastAsia="Calibri" w:hAnsi="Calibri" w:cs="Calibri"/>
          <w:sz w:val="22"/>
          <w:szCs w:val="22"/>
          <w:lang w:val="en-US"/>
        </w:rPr>
        <w:t>SENSOR+TEST 2018</w:t>
      </w:r>
      <w:r w:rsidR="0066787D">
        <w:rPr>
          <w:rFonts w:ascii="Calibri" w:eastAsia="Calibri" w:hAnsi="Calibri" w:cs="Calibri"/>
          <w:sz w:val="22"/>
          <w:szCs w:val="22"/>
          <w:lang w:val="en-US"/>
        </w:rPr>
        <w:t xml:space="preserve"> </w:t>
      </w:r>
      <w:r w:rsidR="0090225D" w:rsidRPr="0090225D">
        <w:rPr>
          <w:rFonts w:ascii="Calibri" w:eastAsia="Calibri" w:hAnsi="Calibri" w:cs="Calibri"/>
          <w:sz w:val="22"/>
          <w:szCs w:val="22"/>
          <w:lang w:val="en-US"/>
        </w:rPr>
        <w:t xml:space="preserve">trade fair </w:t>
      </w:r>
      <w:r w:rsidR="00C21BE4">
        <w:rPr>
          <w:rFonts w:ascii="Calibri" w:eastAsia="Calibri" w:hAnsi="Calibri" w:cs="Calibri"/>
          <w:sz w:val="22"/>
          <w:szCs w:val="22"/>
          <w:lang w:val="en-US"/>
        </w:rPr>
        <w:t>in</w:t>
      </w:r>
      <w:r w:rsidR="00C21BE4" w:rsidRPr="006D0A4F">
        <w:rPr>
          <w:rFonts w:ascii="Calibri" w:eastAsia="Calibri" w:hAnsi="Calibri" w:cs="Calibri"/>
          <w:sz w:val="22"/>
          <w:szCs w:val="22"/>
          <w:lang w:val="en-US"/>
        </w:rPr>
        <w:t xml:space="preserve"> Nürnberg</w:t>
      </w:r>
      <w:r w:rsidR="0090225D" w:rsidRPr="0090225D">
        <w:rPr>
          <w:rFonts w:ascii="Calibri" w:eastAsia="Calibri" w:hAnsi="Calibri" w:cs="Calibri"/>
          <w:sz w:val="22"/>
          <w:szCs w:val="22"/>
          <w:lang w:val="en-US"/>
        </w:rPr>
        <w:t>,</w:t>
      </w:r>
      <w:r w:rsidR="00C21BE4">
        <w:rPr>
          <w:rFonts w:ascii="Calibri" w:eastAsia="Calibri" w:hAnsi="Calibri" w:cs="Calibri"/>
          <w:sz w:val="22"/>
          <w:szCs w:val="22"/>
          <w:lang w:val="en-US"/>
        </w:rPr>
        <w:t xml:space="preserve"> Germany,</w:t>
      </w:r>
      <w:r w:rsidR="0090225D" w:rsidRPr="0090225D">
        <w:rPr>
          <w:rFonts w:ascii="Calibri" w:eastAsia="Calibri" w:hAnsi="Calibri" w:cs="Calibri"/>
          <w:sz w:val="22"/>
          <w:szCs w:val="22"/>
          <w:lang w:val="en-US"/>
        </w:rPr>
        <w:t xml:space="preserve"> KMT - Kraus Messtechnik GmbH together with imc Meßsysteme GmbH presented their new </w:t>
      </w:r>
      <w:r w:rsidR="0066787D" w:rsidRPr="0090225D">
        <w:rPr>
          <w:rFonts w:ascii="Calibri" w:eastAsia="Calibri" w:hAnsi="Calibri" w:cs="Calibri"/>
          <w:sz w:val="22"/>
          <w:szCs w:val="22"/>
          <w:lang w:val="en-US"/>
        </w:rPr>
        <w:t xml:space="preserve">MTP-NT </w:t>
      </w:r>
      <w:r w:rsidR="0090225D" w:rsidRPr="0090225D">
        <w:rPr>
          <w:rFonts w:ascii="Calibri" w:eastAsia="Calibri" w:hAnsi="Calibri" w:cs="Calibri"/>
          <w:sz w:val="22"/>
          <w:szCs w:val="22"/>
          <w:lang w:val="en-US"/>
        </w:rPr>
        <w:t>multi</w:t>
      </w:r>
      <w:r w:rsidR="0066787D">
        <w:rPr>
          <w:rFonts w:ascii="Calibri" w:eastAsia="Calibri" w:hAnsi="Calibri" w:cs="Calibri"/>
          <w:sz w:val="22"/>
          <w:szCs w:val="22"/>
          <w:lang w:val="en-US"/>
        </w:rPr>
        <w:t>-</w:t>
      </w:r>
      <w:r w:rsidR="0090225D" w:rsidRPr="0090225D">
        <w:rPr>
          <w:rFonts w:ascii="Calibri" w:eastAsia="Calibri" w:hAnsi="Calibri" w:cs="Calibri"/>
          <w:sz w:val="22"/>
          <w:szCs w:val="22"/>
          <w:lang w:val="en-US"/>
        </w:rPr>
        <w:t xml:space="preserve">channel measurement system. The system is characterized by a completely modular design and can be used both </w:t>
      </w:r>
      <w:r w:rsidR="00D21999">
        <w:rPr>
          <w:rFonts w:ascii="Calibri" w:eastAsia="Calibri" w:hAnsi="Calibri" w:cs="Calibri"/>
          <w:sz w:val="22"/>
          <w:szCs w:val="22"/>
          <w:lang w:val="en-US"/>
        </w:rPr>
        <w:t xml:space="preserve">in </w:t>
      </w:r>
      <w:r w:rsidR="0090225D" w:rsidRPr="0090225D">
        <w:rPr>
          <w:rFonts w:ascii="Calibri" w:eastAsia="Calibri" w:hAnsi="Calibri" w:cs="Calibri"/>
          <w:sz w:val="22"/>
          <w:szCs w:val="22"/>
          <w:lang w:val="en-US"/>
        </w:rPr>
        <w:t>stationary and telemetric</w:t>
      </w:r>
      <w:r w:rsidR="00D21999">
        <w:rPr>
          <w:rFonts w:ascii="Calibri" w:eastAsia="Calibri" w:hAnsi="Calibri" w:cs="Calibri"/>
          <w:sz w:val="22"/>
          <w:szCs w:val="22"/>
          <w:lang w:val="en-US"/>
        </w:rPr>
        <w:t xml:space="preserve"> configurations</w:t>
      </w:r>
      <w:r w:rsidR="0090225D" w:rsidRPr="0090225D">
        <w:rPr>
          <w:rFonts w:ascii="Calibri" w:eastAsia="Calibri" w:hAnsi="Calibri" w:cs="Calibri"/>
          <w:sz w:val="22"/>
          <w:szCs w:val="22"/>
          <w:lang w:val="en-US"/>
        </w:rPr>
        <w:t xml:space="preserve">. It consists of a controller module, an inductive supply unit and freely </w:t>
      </w:r>
      <w:r w:rsidR="00D21999">
        <w:rPr>
          <w:rFonts w:ascii="Calibri" w:eastAsia="Calibri" w:hAnsi="Calibri" w:cs="Calibri"/>
          <w:sz w:val="22"/>
          <w:szCs w:val="22"/>
          <w:lang w:val="en-US"/>
        </w:rPr>
        <w:t>combinable</w:t>
      </w:r>
      <w:r w:rsidR="0090225D" w:rsidRPr="0090225D">
        <w:rPr>
          <w:rFonts w:ascii="Calibri" w:eastAsia="Calibri" w:hAnsi="Calibri" w:cs="Calibri"/>
          <w:sz w:val="22"/>
          <w:szCs w:val="22"/>
          <w:lang w:val="en-US"/>
        </w:rPr>
        <w:t xml:space="preserve"> sensor modules. With two </w:t>
      </w:r>
      <w:r w:rsidR="00D21999">
        <w:rPr>
          <w:rFonts w:ascii="Calibri" w:eastAsia="Calibri" w:hAnsi="Calibri" w:cs="Calibri"/>
          <w:sz w:val="22"/>
          <w:szCs w:val="22"/>
          <w:lang w:val="en-US"/>
        </w:rPr>
        <w:t xml:space="preserve">basic </w:t>
      </w:r>
      <w:r w:rsidR="0090225D" w:rsidRPr="0090225D">
        <w:rPr>
          <w:rFonts w:ascii="Calibri" w:eastAsia="Calibri" w:hAnsi="Calibri" w:cs="Calibri"/>
          <w:sz w:val="22"/>
          <w:szCs w:val="22"/>
          <w:lang w:val="en-US"/>
        </w:rPr>
        <w:t xml:space="preserve">module types, one universal for voltage, strain gauge and IEPE sensors and one temperature module for thermocouples and PT100/1000, all typical sensors can be acquired. Depending on the task, the user can combine the modules to suit the number and type of sensors </w:t>
      </w:r>
      <w:r w:rsidR="00D21999">
        <w:rPr>
          <w:rFonts w:ascii="Calibri" w:eastAsia="Calibri" w:hAnsi="Calibri" w:cs="Calibri"/>
          <w:sz w:val="22"/>
          <w:szCs w:val="22"/>
          <w:lang w:val="en-US"/>
        </w:rPr>
        <w:t>and</w:t>
      </w:r>
      <w:r w:rsidR="0090225D" w:rsidRPr="0090225D">
        <w:rPr>
          <w:rFonts w:ascii="Calibri" w:eastAsia="Calibri" w:hAnsi="Calibri" w:cs="Calibri"/>
          <w:sz w:val="22"/>
          <w:szCs w:val="22"/>
          <w:lang w:val="en-US"/>
        </w:rPr>
        <w:t xml:space="preserve"> form a</w:t>
      </w:r>
      <w:r w:rsidR="00D21999">
        <w:rPr>
          <w:rFonts w:ascii="Calibri" w:eastAsia="Calibri" w:hAnsi="Calibri" w:cs="Calibri"/>
          <w:sz w:val="22"/>
          <w:szCs w:val="22"/>
          <w:lang w:val="en-US"/>
        </w:rPr>
        <w:t xml:space="preserve"> customized</w:t>
      </w:r>
      <w:r w:rsidR="0090225D" w:rsidRPr="0090225D">
        <w:rPr>
          <w:rFonts w:ascii="Calibri" w:eastAsia="Calibri" w:hAnsi="Calibri" w:cs="Calibri"/>
          <w:sz w:val="22"/>
          <w:szCs w:val="22"/>
          <w:lang w:val="en-US"/>
        </w:rPr>
        <w:t xml:space="preserve"> system with up to </w:t>
      </w:r>
      <w:r w:rsidR="006D0A4F">
        <w:rPr>
          <w:rFonts w:ascii="Calibri" w:eastAsia="Calibri" w:hAnsi="Calibri" w:cs="Calibri"/>
          <w:sz w:val="22"/>
          <w:szCs w:val="22"/>
          <w:lang w:val="en-US"/>
        </w:rPr>
        <w:t xml:space="preserve">128 </w:t>
      </w:r>
      <w:r w:rsidR="0090225D" w:rsidRPr="0090225D">
        <w:rPr>
          <w:rFonts w:ascii="Calibri" w:eastAsia="Calibri" w:hAnsi="Calibri" w:cs="Calibri"/>
          <w:sz w:val="22"/>
          <w:szCs w:val="22"/>
          <w:lang w:val="en-US"/>
        </w:rPr>
        <w:t xml:space="preserve">channels. </w:t>
      </w:r>
    </w:p>
    <w:p w14:paraId="613B9810" w14:textId="77777777" w:rsidR="00600F0C" w:rsidRPr="00E558F7" w:rsidRDefault="0090225D" w:rsidP="0090225D">
      <w:pPr>
        <w:spacing w:line="360" w:lineRule="auto"/>
        <w:rPr>
          <w:rFonts w:ascii="Calibri" w:eastAsia="Calibri" w:hAnsi="Calibri" w:cs="Calibri"/>
          <w:sz w:val="22"/>
          <w:szCs w:val="22"/>
          <w:lang w:val="en-US"/>
        </w:rPr>
      </w:pPr>
      <w:r w:rsidRPr="0090225D">
        <w:rPr>
          <w:rFonts w:ascii="Calibri" w:eastAsia="Calibri" w:hAnsi="Calibri" w:cs="Calibri"/>
          <w:sz w:val="22"/>
          <w:szCs w:val="22"/>
          <w:lang w:val="en-US"/>
        </w:rPr>
        <w:t>Thanks to its small size and robust design, the telemetry is particularly suitable for applications on rotatin</w:t>
      </w:r>
      <w:r w:rsidR="00C21BE4">
        <w:rPr>
          <w:rFonts w:ascii="Calibri" w:eastAsia="Calibri" w:hAnsi="Calibri" w:cs="Calibri"/>
          <w:sz w:val="22"/>
          <w:szCs w:val="22"/>
          <w:lang w:val="en-US"/>
        </w:rPr>
        <w:t xml:space="preserve">g shafts </w:t>
      </w:r>
      <w:r w:rsidR="00D21999">
        <w:rPr>
          <w:rFonts w:ascii="Calibri" w:eastAsia="Calibri" w:hAnsi="Calibri" w:cs="Calibri"/>
          <w:sz w:val="22"/>
          <w:szCs w:val="22"/>
          <w:lang w:val="en-US"/>
        </w:rPr>
        <w:t>or</w:t>
      </w:r>
      <w:r w:rsidR="00C21BE4">
        <w:rPr>
          <w:rFonts w:ascii="Calibri" w:eastAsia="Calibri" w:hAnsi="Calibri" w:cs="Calibri"/>
          <w:sz w:val="22"/>
          <w:szCs w:val="22"/>
          <w:lang w:val="en-US"/>
        </w:rPr>
        <w:t xml:space="preserve"> parts. T</w:t>
      </w:r>
      <w:r w:rsidRPr="0090225D">
        <w:rPr>
          <w:rFonts w:ascii="Calibri" w:eastAsia="Calibri" w:hAnsi="Calibri" w:cs="Calibri"/>
          <w:sz w:val="22"/>
          <w:szCs w:val="22"/>
          <w:lang w:val="en-US"/>
        </w:rPr>
        <w:t>ypical application</w:t>
      </w:r>
      <w:r w:rsidR="00C21BE4">
        <w:rPr>
          <w:rFonts w:ascii="Calibri" w:eastAsia="Calibri" w:hAnsi="Calibri" w:cs="Calibri"/>
          <w:sz w:val="22"/>
          <w:szCs w:val="22"/>
          <w:lang w:val="en-US"/>
        </w:rPr>
        <w:t>s include</w:t>
      </w:r>
      <w:r w:rsidRPr="0090225D">
        <w:rPr>
          <w:rFonts w:ascii="Calibri" w:eastAsia="Calibri" w:hAnsi="Calibri" w:cs="Calibri"/>
          <w:sz w:val="22"/>
          <w:szCs w:val="22"/>
          <w:lang w:val="en-US"/>
        </w:rPr>
        <w:t xml:space="preserve"> testing </w:t>
      </w:r>
      <w:r w:rsidR="00D21999">
        <w:rPr>
          <w:rFonts w:ascii="Calibri" w:eastAsia="Calibri" w:hAnsi="Calibri" w:cs="Calibri"/>
          <w:sz w:val="22"/>
          <w:szCs w:val="22"/>
          <w:lang w:val="en-US"/>
        </w:rPr>
        <w:t xml:space="preserve">of </w:t>
      </w:r>
      <w:r w:rsidRPr="0090225D">
        <w:rPr>
          <w:rFonts w:ascii="Calibri" w:eastAsia="Calibri" w:hAnsi="Calibri" w:cs="Calibri"/>
          <w:sz w:val="22"/>
          <w:szCs w:val="22"/>
          <w:lang w:val="en-US"/>
        </w:rPr>
        <w:t xml:space="preserve">axles, drives, brakes or gear shafts. The </w:t>
      </w:r>
      <w:r w:rsidRPr="0090225D">
        <w:rPr>
          <w:rFonts w:ascii="Calibri" w:eastAsia="Calibri" w:hAnsi="Calibri" w:cs="Calibri"/>
          <w:sz w:val="22"/>
          <w:szCs w:val="22"/>
          <w:lang w:val="en-US"/>
        </w:rPr>
        <w:lastRenderedPageBreak/>
        <w:t>system is designed to work for years in continuous operation under the most difficult conditions, such as on the wheelsets of trains. If the telemetry is wired, it also constitutes a particularly robust and distributable measurement system. It is ideal for measurements in harsh environments with limited space, such as in the engine compartment of a vehicle.</w:t>
      </w:r>
    </w:p>
    <w:p w14:paraId="464598B2" w14:textId="77777777" w:rsidR="00600F0C" w:rsidRPr="00E558F7" w:rsidRDefault="00600F0C">
      <w:pPr>
        <w:spacing w:line="360" w:lineRule="auto"/>
        <w:rPr>
          <w:rFonts w:ascii="Calibri" w:eastAsia="Calibri" w:hAnsi="Calibri" w:cs="Calibri"/>
          <w:sz w:val="22"/>
          <w:szCs w:val="22"/>
          <w:lang w:val="en-US"/>
        </w:rPr>
      </w:pPr>
    </w:p>
    <w:p w14:paraId="76FFBA4E" w14:textId="66F9402D" w:rsidR="0090225D" w:rsidRPr="0090225D" w:rsidRDefault="0090225D" w:rsidP="0090225D">
      <w:pPr>
        <w:spacing w:line="360" w:lineRule="auto"/>
        <w:rPr>
          <w:rFonts w:ascii="Calibri" w:eastAsia="Calibri" w:hAnsi="Calibri" w:cs="Calibri"/>
          <w:sz w:val="22"/>
          <w:szCs w:val="22"/>
          <w:lang w:val="en-US"/>
        </w:rPr>
      </w:pPr>
      <w:bookmarkStart w:id="0" w:name="_gjdgxs" w:colFirst="0" w:colLast="0"/>
      <w:bookmarkEnd w:id="0"/>
      <w:r w:rsidRPr="0090225D">
        <w:rPr>
          <w:rFonts w:ascii="Calibri" w:eastAsia="Calibri" w:hAnsi="Calibri" w:cs="Calibri"/>
          <w:sz w:val="22"/>
          <w:szCs w:val="22"/>
          <w:lang w:val="en-US"/>
        </w:rPr>
        <w:t xml:space="preserve">The modules of the MTP-NT can be placed close to the sensors and </w:t>
      </w:r>
      <w:r w:rsidR="00D21999">
        <w:rPr>
          <w:rFonts w:ascii="Calibri" w:eastAsia="Calibri" w:hAnsi="Calibri" w:cs="Calibri"/>
          <w:sz w:val="22"/>
          <w:szCs w:val="22"/>
          <w:lang w:val="en-US"/>
        </w:rPr>
        <w:t>be interconnected</w:t>
      </w:r>
      <w:r w:rsidRPr="0090225D">
        <w:rPr>
          <w:rFonts w:ascii="Calibri" w:eastAsia="Calibri" w:hAnsi="Calibri" w:cs="Calibri"/>
          <w:sz w:val="22"/>
          <w:szCs w:val="22"/>
          <w:lang w:val="en-US"/>
        </w:rPr>
        <w:t xml:space="preserve"> over longer distances of up to 10 m via </w:t>
      </w:r>
      <w:r w:rsidR="00D21999">
        <w:rPr>
          <w:rFonts w:ascii="Calibri" w:eastAsia="Calibri" w:hAnsi="Calibri" w:cs="Calibri"/>
          <w:sz w:val="22"/>
          <w:szCs w:val="22"/>
          <w:lang w:val="en-US"/>
        </w:rPr>
        <w:t>a wired digital bus</w:t>
      </w:r>
      <w:r w:rsidR="00BF4F78">
        <w:rPr>
          <w:rFonts w:ascii="Calibri" w:eastAsia="Calibri" w:hAnsi="Calibri" w:cs="Calibri"/>
          <w:sz w:val="22"/>
          <w:szCs w:val="22"/>
          <w:lang w:val="en-US"/>
        </w:rPr>
        <w:t xml:space="preserve">, robust against </w:t>
      </w:r>
      <w:r w:rsidRPr="0090225D">
        <w:rPr>
          <w:rFonts w:ascii="Calibri" w:eastAsia="Calibri" w:hAnsi="Calibri" w:cs="Calibri"/>
          <w:sz w:val="22"/>
          <w:szCs w:val="22"/>
          <w:lang w:val="en-US"/>
        </w:rPr>
        <w:t>interference. Up to 128</w:t>
      </w:r>
      <w:r w:rsidR="006D0A4F">
        <w:rPr>
          <w:rFonts w:ascii="Calibri" w:eastAsia="Calibri" w:hAnsi="Calibri" w:cs="Calibri"/>
          <w:sz w:val="22"/>
          <w:szCs w:val="22"/>
          <w:lang w:val="en-US"/>
        </w:rPr>
        <w:t xml:space="preserve"> </w:t>
      </w:r>
      <w:r w:rsidRPr="0090225D">
        <w:rPr>
          <w:rFonts w:ascii="Calibri" w:eastAsia="Calibri" w:hAnsi="Calibri" w:cs="Calibri"/>
          <w:sz w:val="22"/>
          <w:szCs w:val="22"/>
          <w:lang w:val="en-US"/>
        </w:rPr>
        <w:t xml:space="preserve">channels can be controlled with a single MTP-NT controller module. Each sensor module is available as a 2-channel or 4-channel version and is equipped with signal </w:t>
      </w:r>
      <w:r w:rsidR="00BF4F78">
        <w:rPr>
          <w:rFonts w:ascii="Calibri" w:eastAsia="Calibri" w:hAnsi="Calibri" w:cs="Calibri"/>
          <w:sz w:val="22"/>
          <w:szCs w:val="22"/>
          <w:lang w:val="en-US"/>
        </w:rPr>
        <w:t>conditioning</w:t>
      </w:r>
      <w:r w:rsidRPr="0090225D">
        <w:rPr>
          <w:rFonts w:ascii="Calibri" w:eastAsia="Calibri" w:hAnsi="Calibri" w:cs="Calibri"/>
          <w:sz w:val="22"/>
          <w:szCs w:val="22"/>
          <w:lang w:val="en-US"/>
        </w:rPr>
        <w:t>, anti-aliasing filters, 18-bit A/D converters and a digital output. With sampling rates of 100 kHz per channel, even highly dynamic vibration signals can be precisely acquired.</w:t>
      </w:r>
    </w:p>
    <w:p w14:paraId="4B9B33C7" w14:textId="77777777" w:rsidR="0090225D" w:rsidRPr="0090225D" w:rsidRDefault="0090225D" w:rsidP="0090225D">
      <w:pPr>
        <w:spacing w:line="360" w:lineRule="auto"/>
        <w:rPr>
          <w:rFonts w:ascii="Calibri" w:eastAsia="Calibri" w:hAnsi="Calibri" w:cs="Calibri"/>
          <w:sz w:val="22"/>
          <w:szCs w:val="22"/>
          <w:lang w:val="en-US"/>
        </w:rPr>
      </w:pPr>
    </w:p>
    <w:p w14:paraId="1C1E336F" w14:textId="77777777" w:rsidR="00600F0C" w:rsidRPr="00E558F7" w:rsidRDefault="001159FB">
      <w:pPr>
        <w:spacing w:line="360" w:lineRule="auto"/>
        <w:rPr>
          <w:rFonts w:ascii="Calibri" w:eastAsia="Calibri" w:hAnsi="Calibri" w:cs="Calibri"/>
          <w:sz w:val="22"/>
          <w:szCs w:val="22"/>
          <w:lang w:val="en-US"/>
        </w:rPr>
      </w:pPr>
      <w:r w:rsidRPr="001159FB">
        <w:rPr>
          <w:rFonts w:ascii="Calibri" w:eastAsia="Calibri" w:hAnsi="Calibri" w:cs="Calibri"/>
          <w:sz w:val="22"/>
          <w:szCs w:val="22"/>
          <w:lang w:val="en-US"/>
        </w:rPr>
        <w:t>The output of the MTP-NT controller is a serial</w:t>
      </w:r>
      <w:r w:rsidR="00BF4F78">
        <w:rPr>
          <w:rFonts w:ascii="Calibri" w:eastAsia="Calibri" w:hAnsi="Calibri" w:cs="Calibri"/>
          <w:sz w:val="22"/>
          <w:szCs w:val="22"/>
          <w:lang w:val="en-US"/>
        </w:rPr>
        <w:t>ized</w:t>
      </w:r>
      <w:r w:rsidRPr="001159FB">
        <w:rPr>
          <w:rFonts w:ascii="Calibri" w:eastAsia="Calibri" w:hAnsi="Calibri" w:cs="Calibri"/>
          <w:sz w:val="22"/>
          <w:szCs w:val="22"/>
          <w:lang w:val="en-US"/>
        </w:rPr>
        <w:t xml:space="preserve"> PCM signal which is modulated for wireless transmission and can be transmitted inductively over distances of up to 50 mm. It is designed for data rates up to 10 Mbps.</w:t>
      </w:r>
    </w:p>
    <w:p w14:paraId="4DA7F081" w14:textId="77777777" w:rsidR="00600F0C" w:rsidRPr="00E558F7" w:rsidRDefault="00600F0C">
      <w:pPr>
        <w:spacing w:line="360" w:lineRule="auto"/>
        <w:rPr>
          <w:rFonts w:ascii="Calibri" w:eastAsia="Calibri" w:hAnsi="Calibri" w:cs="Calibri"/>
          <w:sz w:val="22"/>
          <w:szCs w:val="22"/>
          <w:lang w:val="en-US"/>
        </w:rPr>
      </w:pPr>
    </w:p>
    <w:p w14:paraId="3EC27422" w14:textId="77777777" w:rsidR="00600F0C" w:rsidRPr="00E558F7" w:rsidRDefault="001159FB">
      <w:pPr>
        <w:spacing w:line="360" w:lineRule="auto"/>
        <w:rPr>
          <w:rFonts w:ascii="Calibri" w:eastAsia="Calibri" w:hAnsi="Calibri" w:cs="Calibri"/>
          <w:sz w:val="22"/>
          <w:szCs w:val="22"/>
          <w:lang w:val="en-US"/>
        </w:rPr>
      </w:pPr>
      <w:r w:rsidRPr="001159FB">
        <w:rPr>
          <w:rFonts w:ascii="Calibri" w:eastAsia="Calibri" w:hAnsi="Calibri" w:cs="Calibri"/>
          <w:sz w:val="22"/>
          <w:szCs w:val="22"/>
          <w:lang w:val="en-US"/>
        </w:rPr>
        <w:t>In permanent installations, for example in test benches or production facilities, MTP telemetry uses an inductive power supply and can operate without interruption over a longer period of time. The supply voltage is transmitted without contact by means of a stationary inductive head and a receiving coil on the rotating component.</w:t>
      </w:r>
    </w:p>
    <w:p w14:paraId="44EE0C13" w14:textId="77777777" w:rsidR="00600F0C" w:rsidRPr="00E558F7" w:rsidRDefault="00600F0C">
      <w:pPr>
        <w:spacing w:line="360" w:lineRule="auto"/>
        <w:rPr>
          <w:rFonts w:ascii="Calibri" w:eastAsia="Calibri" w:hAnsi="Calibri" w:cs="Calibri"/>
          <w:sz w:val="22"/>
          <w:szCs w:val="22"/>
          <w:lang w:val="en-US"/>
        </w:rPr>
      </w:pPr>
    </w:p>
    <w:p w14:paraId="7B5218EE" w14:textId="77777777" w:rsidR="00600F0C" w:rsidRPr="00E558F7" w:rsidRDefault="001159FB" w:rsidP="00856415">
      <w:pPr>
        <w:spacing w:line="360" w:lineRule="auto"/>
        <w:rPr>
          <w:rFonts w:ascii="Calibri" w:eastAsia="Calibri" w:hAnsi="Calibri" w:cs="Calibri"/>
          <w:sz w:val="22"/>
          <w:szCs w:val="22"/>
          <w:lang w:val="en-US"/>
        </w:rPr>
        <w:sectPr w:rsidR="00600F0C" w:rsidRPr="00E558F7">
          <w:headerReference w:type="default" r:id="rId7"/>
          <w:footerReference w:type="default" r:id="rId8"/>
          <w:pgSz w:w="11906" w:h="16838"/>
          <w:pgMar w:top="2127" w:right="1418" w:bottom="2410" w:left="1418" w:header="709" w:footer="500" w:gutter="0"/>
          <w:pgNumType w:start="1"/>
          <w:cols w:space="720"/>
        </w:sectPr>
      </w:pPr>
      <w:r w:rsidRPr="001159FB">
        <w:rPr>
          <w:rFonts w:ascii="Calibri" w:eastAsia="Calibri" w:hAnsi="Calibri" w:cs="Calibri"/>
          <w:sz w:val="22"/>
          <w:szCs w:val="22"/>
          <w:lang w:val="en-US"/>
        </w:rPr>
        <w:t>In holistic testing</w:t>
      </w:r>
      <w:r w:rsidR="00BF4F78">
        <w:rPr>
          <w:rFonts w:ascii="Calibri" w:eastAsia="Calibri" w:hAnsi="Calibri" w:cs="Calibri"/>
          <w:sz w:val="22"/>
          <w:szCs w:val="22"/>
          <w:lang w:val="en-US"/>
        </w:rPr>
        <w:t xml:space="preserve"> of vehicles</w:t>
      </w:r>
      <w:r w:rsidRPr="001159FB">
        <w:rPr>
          <w:rFonts w:ascii="Calibri" w:eastAsia="Calibri" w:hAnsi="Calibri" w:cs="Calibri"/>
          <w:sz w:val="22"/>
          <w:szCs w:val="22"/>
          <w:lang w:val="en-US"/>
        </w:rPr>
        <w:t xml:space="preserve">, wind turbines and machines, it is often necessary to capture additional measurement variables </w:t>
      </w:r>
      <w:r w:rsidR="00C21BE4">
        <w:rPr>
          <w:rFonts w:ascii="Calibri" w:eastAsia="Calibri" w:hAnsi="Calibri" w:cs="Calibri"/>
          <w:sz w:val="22"/>
          <w:szCs w:val="22"/>
          <w:lang w:val="en-US"/>
        </w:rPr>
        <w:t>other than</w:t>
      </w:r>
      <w:r w:rsidR="00C21BE4" w:rsidRPr="001159FB">
        <w:rPr>
          <w:rFonts w:ascii="Calibri" w:eastAsia="Calibri" w:hAnsi="Calibri" w:cs="Calibri"/>
          <w:sz w:val="22"/>
          <w:szCs w:val="22"/>
          <w:lang w:val="en-US"/>
        </w:rPr>
        <w:t xml:space="preserve"> </w:t>
      </w:r>
      <w:r w:rsidRPr="001159FB">
        <w:rPr>
          <w:rFonts w:ascii="Calibri" w:eastAsia="Calibri" w:hAnsi="Calibri" w:cs="Calibri"/>
          <w:sz w:val="22"/>
          <w:szCs w:val="22"/>
          <w:lang w:val="en-US"/>
        </w:rPr>
        <w:t>telemetry data. With an imc measurement system, users have a fully integrated solution at their disposal. The MTP-NT can be digitally connected to the measurement system via a telemetry interface. Whether telemetry data, analog sensor signals or field and vehicle buses: all relevant test data converge synchronously in the imc system. There they can be further processed and analyzed in real time. Various networking options allow the data to be made available to a higher-level system, a controller or a cloud.</w:t>
      </w:r>
      <w:r w:rsidR="00874611" w:rsidRPr="00E558F7">
        <w:rPr>
          <w:lang w:val="en-US"/>
        </w:rPr>
        <w:br w:type="page"/>
      </w:r>
    </w:p>
    <w:p w14:paraId="17934F1C" w14:textId="77777777" w:rsidR="005E1F60" w:rsidRPr="00E558F7" w:rsidRDefault="00E558F7" w:rsidP="005E1F60">
      <w:pPr>
        <w:spacing w:line="360" w:lineRule="atLeast"/>
        <w:jc w:val="both"/>
        <w:rPr>
          <w:rFonts w:ascii="Calibri" w:hAnsi="Calibri" w:cs="Calibri"/>
          <w:b/>
          <w:color w:val="004687"/>
          <w:lang w:val="en-US"/>
        </w:rPr>
      </w:pPr>
      <w:r w:rsidRPr="0083541C">
        <w:rPr>
          <w:rFonts w:ascii="Calibri" w:hAnsi="Calibri" w:cs="Calibri"/>
          <w:b/>
          <w:color w:val="004687"/>
          <w:lang w:val="en-US"/>
        </w:rPr>
        <w:lastRenderedPageBreak/>
        <w:t>imc Meßsysteme GmbH, Berlin, Germany</w:t>
      </w:r>
    </w:p>
    <w:p w14:paraId="094EA756" w14:textId="77777777" w:rsidR="00E558F7" w:rsidRPr="00E558F7" w:rsidRDefault="00E558F7" w:rsidP="00E558F7">
      <w:pPr>
        <w:spacing w:line="360" w:lineRule="atLeast"/>
        <w:jc w:val="both"/>
        <w:rPr>
          <w:rFonts w:ascii="Calibri" w:hAnsi="Calibri" w:cs="Calibri"/>
          <w:sz w:val="20"/>
          <w:lang w:val="en-US"/>
        </w:rPr>
      </w:pPr>
      <w:r w:rsidRPr="00E558F7">
        <w:rPr>
          <w:rFonts w:ascii="Calibri" w:hAnsi="Calibri" w:cs="Calibri"/>
          <w:sz w:val="20"/>
          <w:lang w:val="en-US"/>
        </w:rPr>
        <w:t>For 30 years, imc Meßsysteme GmbH has been developing, manufacturing and selling hardware and software solutions worldwide in the field of physical measurement technology. Whether in a vehicle, on a test bench or monitoring plants and machinery – data acquisition with imc systems is considered productive, user-friendly and profitable. So whether needed in research, development, testing or commissioning, imc offers complete turnkey solutions, as well as standardized measurement devices and software products.</w:t>
      </w:r>
    </w:p>
    <w:p w14:paraId="297650A1" w14:textId="77777777" w:rsidR="00E558F7" w:rsidRPr="00E558F7" w:rsidRDefault="00E558F7" w:rsidP="00E558F7">
      <w:pPr>
        <w:spacing w:line="360" w:lineRule="atLeast"/>
        <w:jc w:val="both"/>
        <w:rPr>
          <w:rFonts w:ascii="Calibri" w:hAnsi="Calibri" w:cs="Calibri"/>
          <w:sz w:val="20"/>
          <w:lang w:val="en-US"/>
        </w:rPr>
      </w:pPr>
      <w:r w:rsidRPr="00E558F7">
        <w:rPr>
          <w:rFonts w:ascii="Calibri" w:hAnsi="Calibri" w:cs="Calibri"/>
          <w:sz w:val="20"/>
          <w:lang w:val="en-US"/>
        </w:rPr>
        <w:t xml:space="preserve">imc measurement systems work in mechanical and mechatronic applications offering up to 100 kHz sampling rate per channel with most popular sensors for measuring physical quantities, such as pressure, force, speed, vibration, noise, temperature, voltage or current. The spectrum of imc measurement products and services ranges from simple data recording via integrated real-time calculations, to the integration of models and complete automation of test benches. </w:t>
      </w:r>
    </w:p>
    <w:p w14:paraId="3B0007C8" w14:textId="77777777" w:rsidR="00600F0C" w:rsidRPr="00E558F7" w:rsidRDefault="00E558F7" w:rsidP="00E558F7">
      <w:pPr>
        <w:spacing w:line="360" w:lineRule="atLeast"/>
        <w:jc w:val="both"/>
        <w:rPr>
          <w:rFonts w:ascii="Calibri" w:hAnsi="Calibri" w:cs="Calibri"/>
          <w:sz w:val="20"/>
          <w:lang w:val="en-US"/>
        </w:rPr>
      </w:pPr>
      <w:r w:rsidRPr="00E558F7">
        <w:rPr>
          <w:rFonts w:ascii="Calibri" w:hAnsi="Calibri" w:cs="Calibri"/>
          <w:sz w:val="20"/>
          <w:lang w:val="en-US"/>
        </w:rPr>
        <w:t xml:space="preserve">Founded in 1988 and headquartered in Berlin, imc Meßsysteme GmbH employs around </w:t>
      </w:r>
      <w:r w:rsidR="00AE5137">
        <w:rPr>
          <w:rFonts w:ascii="Calibri" w:hAnsi="Calibri" w:cs="Calibri"/>
          <w:sz w:val="20"/>
          <w:lang w:val="en-US"/>
        </w:rPr>
        <w:t>20</w:t>
      </w:r>
      <w:r w:rsidRPr="00E558F7">
        <w:rPr>
          <w:rFonts w:ascii="Calibri" w:hAnsi="Calibri" w:cs="Calibri"/>
          <w:sz w:val="20"/>
          <w:lang w:val="en-US"/>
        </w:rPr>
        <w:t>0 employees who are continuously working hard to further develop the product portfolio. Internationally, imc products are distributed and sold through our 25 partner companies.</w:t>
      </w:r>
      <w:r w:rsidR="005E1F60" w:rsidRPr="00E558F7">
        <w:rPr>
          <w:rFonts w:ascii="Calibri" w:hAnsi="Calibri" w:cs="Calibri"/>
          <w:sz w:val="20"/>
          <w:lang w:val="en-US"/>
        </w:rPr>
        <w:t xml:space="preserve"> </w:t>
      </w:r>
    </w:p>
    <w:sectPr w:rsidR="00600F0C" w:rsidRPr="00E558F7">
      <w:type w:val="continuous"/>
      <w:pgSz w:w="11906" w:h="16838"/>
      <w:pgMar w:top="2127" w:right="1418" w:bottom="2410" w:left="1418" w:header="709" w:footer="5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59E47" w14:textId="77777777" w:rsidR="000919E4" w:rsidRDefault="000919E4">
      <w:r>
        <w:separator/>
      </w:r>
    </w:p>
  </w:endnote>
  <w:endnote w:type="continuationSeparator" w:id="0">
    <w:p w14:paraId="6F1044DC" w14:textId="77777777" w:rsidR="000919E4" w:rsidRDefault="00091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34340" w14:textId="77777777" w:rsidR="00600F0C" w:rsidRDefault="00874611">
    <w:r>
      <w:rPr>
        <w:noProof/>
        <w:lang w:val="en-US" w:eastAsia="en-US"/>
      </w:rPr>
      <mc:AlternateContent>
        <mc:Choice Requires="wps">
          <w:drawing>
            <wp:anchor distT="0" distB="0" distL="114300" distR="114300" simplePos="0" relativeHeight="251660288" behindDoc="0" locked="0" layoutInCell="1" hidden="0" allowOverlap="1" wp14:anchorId="157DB6ED" wp14:editId="12DF720D">
              <wp:simplePos x="0" y="0"/>
              <wp:positionH relativeFrom="margin">
                <wp:posOffset>114300</wp:posOffset>
              </wp:positionH>
              <wp:positionV relativeFrom="paragraph">
                <wp:posOffset>0</wp:posOffset>
              </wp:positionV>
              <wp:extent cx="12700" cy="12700"/>
              <wp:effectExtent l="0" t="0" r="0" b="0"/>
              <wp:wrapNone/>
              <wp:docPr id="1" name="Gerade Verbindung mit Pfeil 1"/>
              <wp:cNvGraphicFramePr/>
              <a:graphic xmlns:a="http://schemas.openxmlformats.org/drawingml/2006/main">
                <a:graphicData uri="http://schemas.microsoft.com/office/word/2010/wordprocessingShape">
                  <wps:wsp>
                    <wps:cNvCnPr/>
                    <wps:spPr>
                      <a:xfrm rot="10800000">
                        <a:off x="5353620" y="3859375"/>
                        <a:ext cx="5760085" cy="0"/>
                      </a:xfrm>
                      <a:prstGeom prst="straightConnector1">
                        <a:avLst/>
                      </a:prstGeom>
                      <a:solidFill>
                        <a:srgbClr val="FFFFFF"/>
                      </a:solidFill>
                      <a:ln w="9525" cap="flat" cmpd="sng">
                        <a:solidFill>
                          <a:srgbClr val="004687"/>
                        </a:solidFill>
                        <a:prstDash val="solid"/>
                        <a:round/>
                        <a:headEnd type="none" w="sm" len="sm"/>
                        <a:tailEnd type="none" w="sm" len="sm"/>
                      </a:ln>
                    </wps:spPr>
                    <wps:bodyPr/>
                  </wps:wsp>
                </a:graphicData>
              </a:graphic>
            </wp:anchor>
          </w:drawing>
        </mc:Choice>
        <mc:Fallback>
          <w:pict>
            <v:shapetype w14:anchorId="34403769" id="_x0000_t32" coordsize="21600,21600" o:spt="32" o:oned="t" path="m,l21600,21600e" filled="f">
              <v:path arrowok="t" fillok="f" o:connecttype="none"/>
              <o:lock v:ext="edit" shapetype="t"/>
            </v:shapetype>
            <v:shape id="Gerade Verbindung mit Pfeil 1" o:spid="_x0000_s1026" type="#_x0000_t32" style="position:absolute;margin-left:9pt;margin-top:0;width:1pt;height:1pt;rotation:180;z-index:251660288;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" filled="t" strokecolor="#004687">
              <v:stroke startarrowwidth="narrow" startarrowlength="short" endarrowwidth="narrow" endarrowlength="short"/>
              <w10:wrap anchorx="margin"/>
            </v:shape>
          </w:pict>
        </mc:Fallback>
      </mc:AlternateContent>
    </w:r>
  </w:p>
  <w:tbl>
    <w:tblPr>
      <w:tblStyle w:val="a"/>
      <w:tblW w:w="9180"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3096"/>
      <w:gridCol w:w="3096"/>
      <w:gridCol w:w="2988"/>
    </w:tblGrid>
    <w:tr w:rsidR="00600F0C" w:rsidRPr="006D0A4F" w14:paraId="4E3741CA" w14:textId="77777777">
      <w:tc>
        <w:tcPr>
          <w:tcW w:w="3096" w:type="dxa"/>
        </w:tcPr>
        <w:p w14:paraId="7837EA8E" w14:textId="77777777" w:rsidR="00600F0C" w:rsidRDefault="00874611">
          <w:pPr>
            <w:rPr>
              <w:rFonts w:ascii="Calibri" w:eastAsia="Calibri" w:hAnsi="Calibri" w:cs="Calibri"/>
              <w:b/>
              <w:sz w:val="16"/>
              <w:szCs w:val="16"/>
            </w:rPr>
          </w:pPr>
          <w:r>
            <w:rPr>
              <w:rFonts w:ascii="Calibri" w:eastAsia="Calibri" w:hAnsi="Calibri" w:cs="Calibri"/>
              <w:b/>
              <w:sz w:val="16"/>
              <w:szCs w:val="16"/>
            </w:rPr>
            <w:t>imc Meßsysteme GmbH</w:t>
          </w:r>
        </w:p>
        <w:p w14:paraId="142E308A" w14:textId="77777777" w:rsidR="00600F0C" w:rsidRDefault="00874611">
          <w:pPr>
            <w:rPr>
              <w:rFonts w:ascii="Calibri" w:eastAsia="Calibri" w:hAnsi="Calibri" w:cs="Calibri"/>
              <w:sz w:val="16"/>
              <w:szCs w:val="16"/>
            </w:rPr>
          </w:pPr>
          <w:r>
            <w:rPr>
              <w:rFonts w:ascii="Calibri" w:eastAsia="Calibri" w:hAnsi="Calibri" w:cs="Calibri"/>
              <w:sz w:val="16"/>
              <w:szCs w:val="16"/>
            </w:rPr>
            <w:t>Voltastraße 5</w:t>
          </w:r>
        </w:p>
        <w:p w14:paraId="4B08E7C9" w14:textId="77777777" w:rsidR="00600F0C" w:rsidRDefault="00874611">
          <w:pPr>
            <w:rPr>
              <w:rFonts w:ascii="Calibri" w:eastAsia="Calibri" w:hAnsi="Calibri" w:cs="Calibri"/>
              <w:sz w:val="16"/>
              <w:szCs w:val="16"/>
            </w:rPr>
          </w:pPr>
          <w:r>
            <w:rPr>
              <w:rFonts w:ascii="Calibri" w:eastAsia="Calibri" w:hAnsi="Calibri" w:cs="Calibri"/>
              <w:sz w:val="16"/>
              <w:szCs w:val="16"/>
            </w:rPr>
            <w:t>D-13355 Berlin</w:t>
          </w:r>
        </w:p>
        <w:p w14:paraId="2FB0F911" w14:textId="77777777" w:rsidR="00600F0C" w:rsidRPr="006D0A4F" w:rsidRDefault="00E558F7">
          <w:pPr>
            <w:rPr>
              <w:rFonts w:ascii="Calibri" w:eastAsia="Calibri" w:hAnsi="Calibri" w:cs="Calibri"/>
              <w:sz w:val="16"/>
              <w:szCs w:val="16"/>
              <w:lang w:val="en-US"/>
            </w:rPr>
          </w:pPr>
          <w:r w:rsidRPr="006D0A4F">
            <w:rPr>
              <w:rFonts w:ascii="Calibri" w:eastAsia="Calibri" w:hAnsi="Calibri" w:cs="Calibri"/>
              <w:sz w:val="16"/>
              <w:szCs w:val="16"/>
              <w:lang w:val="en-US"/>
            </w:rPr>
            <w:t>Teleph</w:t>
          </w:r>
          <w:r w:rsidR="00874611" w:rsidRPr="006D0A4F">
            <w:rPr>
              <w:rFonts w:ascii="Calibri" w:eastAsia="Calibri" w:hAnsi="Calibri" w:cs="Calibri"/>
              <w:sz w:val="16"/>
              <w:szCs w:val="16"/>
              <w:lang w:val="en-US"/>
            </w:rPr>
            <w:t>on</w:t>
          </w:r>
          <w:r w:rsidRPr="006D0A4F">
            <w:rPr>
              <w:rFonts w:ascii="Calibri" w:eastAsia="Calibri" w:hAnsi="Calibri" w:cs="Calibri"/>
              <w:sz w:val="16"/>
              <w:szCs w:val="16"/>
              <w:lang w:val="en-US"/>
            </w:rPr>
            <w:t>e</w:t>
          </w:r>
          <w:r w:rsidR="00874611" w:rsidRPr="006D0A4F">
            <w:rPr>
              <w:rFonts w:ascii="Calibri" w:eastAsia="Calibri" w:hAnsi="Calibri" w:cs="Calibri"/>
              <w:sz w:val="16"/>
              <w:szCs w:val="16"/>
              <w:lang w:val="en-US"/>
            </w:rPr>
            <w:t>: +49 (0)30 – 46 70 90 – 0</w:t>
          </w:r>
        </w:p>
        <w:p w14:paraId="334FBBFF" w14:textId="77777777" w:rsidR="00600F0C" w:rsidRPr="006D0A4F" w:rsidRDefault="00874611">
          <w:pPr>
            <w:rPr>
              <w:rFonts w:ascii="Calibri" w:eastAsia="Calibri" w:hAnsi="Calibri" w:cs="Calibri"/>
              <w:sz w:val="16"/>
              <w:szCs w:val="16"/>
              <w:lang w:val="en-US"/>
            </w:rPr>
          </w:pPr>
          <w:r w:rsidRPr="006D0A4F">
            <w:rPr>
              <w:rFonts w:ascii="Calibri" w:eastAsia="Calibri" w:hAnsi="Calibri" w:cs="Calibri"/>
              <w:sz w:val="16"/>
              <w:szCs w:val="16"/>
              <w:lang w:val="en-US"/>
            </w:rPr>
            <w:t>Fax: +49 (0)30 – 4 63 15 76</w:t>
          </w:r>
        </w:p>
        <w:p w14:paraId="14EBEFAB" w14:textId="77777777" w:rsidR="00600F0C" w:rsidRPr="006D0A4F" w:rsidRDefault="00E558F7">
          <w:pPr>
            <w:rPr>
              <w:rFonts w:ascii="Calibri" w:eastAsia="Calibri" w:hAnsi="Calibri" w:cs="Calibri"/>
              <w:sz w:val="16"/>
              <w:szCs w:val="16"/>
              <w:lang w:val="en-US"/>
            </w:rPr>
          </w:pPr>
          <w:r w:rsidRPr="006D0A4F">
            <w:rPr>
              <w:rFonts w:ascii="Calibri" w:eastAsia="Calibri" w:hAnsi="Calibri" w:cs="Calibri"/>
              <w:sz w:val="16"/>
              <w:szCs w:val="16"/>
              <w:lang w:val="en-US"/>
            </w:rPr>
            <w:t>E-m</w:t>
          </w:r>
          <w:r w:rsidR="00874611" w:rsidRPr="006D0A4F">
            <w:rPr>
              <w:rFonts w:ascii="Calibri" w:eastAsia="Calibri" w:hAnsi="Calibri" w:cs="Calibri"/>
              <w:sz w:val="16"/>
              <w:szCs w:val="16"/>
              <w:lang w:val="en-US"/>
            </w:rPr>
            <w:t xml:space="preserve">ail: </w:t>
          </w:r>
          <w:hyperlink r:id="rId1">
            <w:r w:rsidR="00874611" w:rsidRPr="006D0A4F">
              <w:rPr>
                <w:rFonts w:ascii="Calibri" w:eastAsia="Calibri" w:hAnsi="Calibri" w:cs="Calibri"/>
                <w:color w:val="0000FF"/>
                <w:sz w:val="16"/>
                <w:szCs w:val="16"/>
                <w:u w:val="single"/>
                <w:lang w:val="en-US"/>
              </w:rPr>
              <w:t>hotline@imc-berlin.de</w:t>
            </w:r>
          </w:hyperlink>
        </w:p>
        <w:p w14:paraId="3A563848" w14:textId="77777777" w:rsidR="00600F0C" w:rsidRDefault="00874611" w:rsidP="00E558F7">
          <w:pPr>
            <w:rPr>
              <w:rFonts w:ascii="Calibri" w:eastAsia="Calibri" w:hAnsi="Calibri" w:cs="Calibri"/>
              <w:sz w:val="18"/>
              <w:szCs w:val="18"/>
            </w:rPr>
          </w:pPr>
          <w:r>
            <w:rPr>
              <w:rFonts w:ascii="Calibri" w:eastAsia="Calibri" w:hAnsi="Calibri" w:cs="Calibri"/>
              <w:sz w:val="16"/>
              <w:szCs w:val="16"/>
            </w:rPr>
            <w:t xml:space="preserve">Internet: </w:t>
          </w:r>
          <w:hyperlink r:id="rId2" w:history="1">
            <w:r w:rsidR="00E558F7" w:rsidRPr="00593450">
              <w:rPr>
                <w:rStyle w:val="Hyperlink"/>
                <w:rFonts w:ascii="Calibri" w:eastAsia="Calibri" w:hAnsi="Calibri" w:cs="Calibri"/>
                <w:sz w:val="16"/>
                <w:szCs w:val="16"/>
              </w:rPr>
              <w:t>www.imc-berlin.com</w:t>
            </w:r>
          </w:hyperlink>
        </w:p>
      </w:tc>
      <w:tc>
        <w:tcPr>
          <w:tcW w:w="3096" w:type="dxa"/>
        </w:tcPr>
        <w:p w14:paraId="18B9EEBC" w14:textId="77777777" w:rsidR="00600F0C" w:rsidRDefault="00600F0C">
          <w:pPr>
            <w:rPr>
              <w:rFonts w:ascii="Calibri" w:eastAsia="Calibri" w:hAnsi="Calibri" w:cs="Calibri"/>
              <w:sz w:val="18"/>
              <w:szCs w:val="18"/>
            </w:rPr>
          </w:pPr>
        </w:p>
      </w:tc>
      <w:tc>
        <w:tcPr>
          <w:tcW w:w="2988" w:type="dxa"/>
        </w:tcPr>
        <w:p w14:paraId="30086E33" w14:textId="77777777" w:rsidR="00600F0C" w:rsidRPr="006D0A4F" w:rsidRDefault="00E558F7">
          <w:pPr>
            <w:rPr>
              <w:rFonts w:ascii="Calibri" w:eastAsia="Calibri" w:hAnsi="Calibri" w:cs="Calibri"/>
              <w:b/>
              <w:sz w:val="16"/>
              <w:szCs w:val="16"/>
              <w:lang w:val="en-US"/>
            </w:rPr>
          </w:pPr>
          <w:r w:rsidRPr="006D0A4F">
            <w:rPr>
              <w:rFonts w:ascii="Calibri" w:eastAsia="Calibri" w:hAnsi="Calibri" w:cs="Calibri"/>
              <w:b/>
              <w:sz w:val="16"/>
              <w:szCs w:val="16"/>
              <w:lang w:val="en-US"/>
            </w:rPr>
            <w:t>Press contact</w:t>
          </w:r>
          <w:r w:rsidR="00874611" w:rsidRPr="006D0A4F">
            <w:rPr>
              <w:rFonts w:ascii="Calibri" w:eastAsia="Calibri" w:hAnsi="Calibri" w:cs="Calibri"/>
              <w:b/>
              <w:sz w:val="16"/>
              <w:szCs w:val="16"/>
              <w:lang w:val="en-US"/>
            </w:rPr>
            <w:t>:</w:t>
          </w:r>
        </w:p>
        <w:p w14:paraId="4E787471" w14:textId="77777777" w:rsidR="00600F0C" w:rsidRPr="006D0A4F" w:rsidRDefault="00E558F7">
          <w:pPr>
            <w:rPr>
              <w:rFonts w:ascii="Calibri" w:eastAsia="Calibri" w:hAnsi="Calibri" w:cs="Calibri"/>
              <w:sz w:val="16"/>
              <w:szCs w:val="16"/>
              <w:lang w:val="en-US"/>
            </w:rPr>
          </w:pPr>
          <w:r w:rsidRPr="006D0A4F">
            <w:rPr>
              <w:rFonts w:ascii="Calibri" w:eastAsia="Calibri" w:hAnsi="Calibri" w:cs="Calibri"/>
              <w:sz w:val="16"/>
              <w:szCs w:val="16"/>
              <w:lang w:val="en-US"/>
            </w:rPr>
            <w:t>M</w:t>
          </w:r>
          <w:r w:rsidR="00874611" w:rsidRPr="006D0A4F">
            <w:rPr>
              <w:rFonts w:ascii="Calibri" w:eastAsia="Calibri" w:hAnsi="Calibri" w:cs="Calibri"/>
              <w:sz w:val="16"/>
              <w:szCs w:val="16"/>
              <w:lang w:val="en-US"/>
            </w:rPr>
            <w:t>r</w:t>
          </w:r>
          <w:r w:rsidRPr="006D0A4F">
            <w:rPr>
              <w:rFonts w:ascii="Calibri" w:eastAsia="Calibri" w:hAnsi="Calibri" w:cs="Calibri"/>
              <w:sz w:val="16"/>
              <w:szCs w:val="16"/>
              <w:lang w:val="en-US"/>
            </w:rPr>
            <w:t>.</w:t>
          </w:r>
          <w:r w:rsidR="00874611" w:rsidRPr="006D0A4F">
            <w:rPr>
              <w:rFonts w:ascii="Calibri" w:eastAsia="Calibri" w:hAnsi="Calibri" w:cs="Calibri"/>
              <w:sz w:val="16"/>
              <w:szCs w:val="16"/>
              <w:lang w:val="en-US"/>
            </w:rPr>
            <w:t xml:space="preserve"> Nils Becker</w:t>
          </w:r>
          <w:r w:rsidR="00874611" w:rsidRPr="006D0A4F">
            <w:rPr>
              <w:rFonts w:ascii="Calibri" w:eastAsia="Calibri" w:hAnsi="Calibri" w:cs="Calibri"/>
              <w:sz w:val="16"/>
              <w:szCs w:val="16"/>
              <w:lang w:val="en-US"/>
            </w:rPr>
            <w:br/>
            <w:t>Tel.: +</w:t>
          </w:r>
          <w:r w:rsidRPr="006D0A4F">
            <w:rPr>
              <w:rFonts w:ascii="Calibri" w:eastAsia="Calibri" w:hAnsi="Calibri" w:cs="Calibri"/>
              <w:sz w:val="16"/>
              <w:szCs w:val="16"/>
              <w:lang w:val="en-US"/>
            </w:rPr>
            <w:t xml:space="preserve">49 (0)6172 – 59672 – 47 (0) </w:t>
          </w:r>
          <w:r w:rsidRPr="006D0A4F">
            <w:rPr>
              <w:rFonts w:ascii="Calibri" w:eastAsia="Calibri" w:hAnsi="Calibri" w:cs="Calibri"/>
              <w:sz w:val="16"/>
              <w:szCs w:val="16"/>
              <w:lang w:val="en-US"/>
            </w:rPr>
            <w:br/>
            <w:t>E-m</w:t>
          </w:r>
          <w:r w:rsidR="00874611" w:rsidRPr="006D0A4F">
            <w:rPr>
              <w:rFonts w:ascii="Calibri" w:eastAsia="Calibri" w:hAnsi="Calibri" w:cs="Calibri"/>
              <w:sz w:val="16"/>
              <w:szCs w:val="16"/>
              <w:lang w:val="en-US"/>
            </w:rPr>
            <w:t xml:space="preserve">ail: </w:t>
          </w:r>
          <w:hyperlink r:id="rId3">
            <w:r w:rsidR="00874611" w:rsidRPr="006D0A4F">
              <w:rPr>
                <w:rFonts w:ascii="Calibri" w:eastAsia="Calibri" w:hAnsi="Calibri" w:cs="Calibri"/>
                <w:color w:val="0000FF"/>
                <w:sz w:val="16"/>
                <w:szCs w:val="16"/>
                <w:u w:val="single"/>
                <w:lang w:val="en-US"/>
              </w:rPr>
              <w:t>nils.becker@imc-frankfurt.de</w:t>
            </w:r>
          </w:hyperlink>
        </w:p>
        <w:p w14:paraId="7E17EBB0" w14:textId="77777777" w:rsidR="00600F0C" w:rsidRPr="006D0A4F" w:rsidRDefault="00600F0C">
          <w:pPr>
            <w:ind w:right="-374"/>
            <w:rPr>
              <w:rFonts w:ascii="Calibri" w:eastAsia="Calibri" w:hAnsi="Calibri" w:cs="Calibri"/>
              <w:sz w:val="16"/>
              <w:szCs w:val="16"/>
              <w:lang w:val="en-US"/>
            </w:rPr>
          </w:pPr>
        </w:p>
        <w:p w14:paraId="76B9BA91" w14:textId="77777777" w:rsidR="00600F0C" w:rsidRPr="006D0A4F" w:rsidRDefault="00E558F7">
          <w:pPr>
            <w:ind w:right="-108"/>
            <w:rPr>
              <w:rFonts w:ascii="Calibri" w:eastAsia="Calibri" w:hAnsi="Calibri" w:cs="Calibri"/>
              <w:sz w:val="18"/>
              <w:szCs w:val="18"/>
              <w:lang w:val="en-US"/>
            </w:rPr>
          </w:pPr>
          <w:r w:rsidRPr="009E0F59">
            <w:rPr>
              <w:rFonts w:ascii="Calibri" w:hAnsi="Calibri" w:cs="Calibri"/>
              <w:b/>
              <w:sz w:val="16"/>
              <w:szCs w:val="18"/>
              <w:lang w:val="en-US"/>
            </w:rPr>
            <w:t>Reimbursements:</w:t>
          </w:r>
          <w:r w:rsidRPr="009E0F59">
            <w:rPr>
              <w:rFonts w:ascii="Calibri" w:hAnsi="Calibri" w:cs="Calibri"/>
              <w:sz w:val="16"/>
              <w:szCs w:val="18"/>
              <w:lang w:val="en-US"/>
            </w:rPr>
            <w:t xml:space="preserve"> After consultation, we will assume costs associated with publication.</w:t>
          </w:r>
        </w:p>
      </w:tc>
    </w:tr>
  </w:tbl>
  <w:p w14:paraId="38E3B8A0" w14:textId="77777777" w:rsidR="00600F0C" w:rsidRPr="006D0A4F" w:rsidRDefault="00600F0C">
    <w:pPr>
      <w:rPr>
        <w:rFonts w:ascii="Calibri" w:eastAsia="Calibri" w:hAnsi="Calibri" w:cs="Calibri"/>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A7EEBB" w14:textId="77777777" w:rsidR="000919E4" w:rsidRDefault="000919E4">
      <w:r>
        <w:separator/>
      </w:r>
    </w:p>
  </w:footnote>
  <w:footnote w:type="continuationSeparator" w:id="0">
    <w:p w14:paraId="6C1AC532" w14:textId="77777777" w:rsidR="000919E4" w:rsidRDefault="000919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78C4F" w14:textId="77777777" w:rsidR="00600F0C" w:rsidRPr="006D0A4F" w:rsidRDefault="00874611">
    <w:pPr>
      <w:ind w:right="-374"/>
      <w:rPr>
        <w:rFonts w:ascii="Calibri" w:eastAsia="Calibri" w:hAnsi="Calibri" w:cs="Calibri"/>
        <w:b/>
        <w:color w:val="004687"/>
        <w:sz w:val="48"/>
        <w:szCs w:val="48"/>
        <w:lang w:val="en-US"/>
      </w:rPr>
    </w:pPr>
    <w:r w:rsidRPr="00E558F7">
      <w:rPr>
        <w:rFonts w:ascii="Calibri" w:eastAsia="Calibri" w:hAnsi="Calibri" w:cs="Calibri"/>
        <w:b/>
        <w:color w:val="5A5A5A"/>
        <w:sz w:val="48"/>
        <w:szCs w:val="48"/>
        <w:lang w:val="en-US"/>
      </w:rPr>
      <w:t>Press</w:t>
    </w:r>
    <w:r w:rsidR="00E558F7">
      <w:rPr>
        <w:rFonts w:ascii="Calibri" w:eastAsia="Calibri" w:hAnsi="Calibri" w:cs="Calibri"/>
        <w:b/>
        <w:color w:val="5A5A5A"/>
        <w:sz w:val="48"/>
        <w:szCs w:val="48"/>
        <w:lang w:val="en-US"/>
      </w:rPr>
      <w:t xml:space="preserve"> information</w:t>
    </w:r>
    <w:r w:rsidRPr="006D0A4F">
      <w:rPr>
        <w:rFonts w:ascii="Calibri" w:eastAsia="Calibri" w:hAnsi="Calibri" w:cs="Calibri"/>
        <w:color w:val="FFFFFF"/>
        <w:sz w:val="28"/>
        <w:szCs w:val="28"/>
        <w:lang w:val="en-US"/>
      </w:rPr>
      <w:t xml:space="preserve"> 03</w:t>
    </w:r>
    <w:r>
      <w:rPr>
        <w:noProof/>
        <w:lang w:val="en-US" w:eastAsia="en-US"/>
      </w:rPr>
      <w:drawing>
        <wp:anchor distT="0" distB="0" distL="114300" distR="114300" simplePos="0" relativeHeight="251658240" behindDoc="0" locked="0" layoutInCell="1" hidden="0" allowOverlap="1" wp14:anchorId="0E5866FC" wp14:editId="70738685">
          <wp:simplePos x="0" y="0"/>
          <wp:positionH relativeFrom="margin">
            <wp:posOffset>4740275</wp:posOffset>
          </wp:positionH>
          <wp:positionV relativeFrom="paragraph">
            <wp:posOffset>-92074</wp:posOffset>
          </wp:positionV>
          <wp:extent cx="1033145" cy="654685"/>
          <wp:effectExtent l="0" t="0" r="0" b="0"/>
          <wp:wrapSquare wrapText="bothSides" distT="0" distB="0" distL="114300" distR="114300"/>
          <wp:docPr id="3" name="image6.png" descr="imc_Logo_RGB_296x189px-ohne-Rand"/>
          <wp:cNvGraphicFramePr/>
          <a:graphic xmlns:a="http://schemas.openxmlformats.org/drawingml/2006/main">
            <a:graphicData uri="http://schemas.openxmlformats.org/drawingml/2006/picture">
              <pic:pic xmlns:pic="http://schemas.openxmlformats.org/drawingml/2006/picture">
                <pic:nvPicPr>
                  <pic:cNvPr id="0" name="image6.png" descr="imc_Logo_RGB_296x189px-ohne-Rand"/>
                  <pic:cNvPicPr preferRelativeResize="0"/>
                </pic:nvPicPr>
                <pic:blipFill>
                  <a:blip r:embed="rId1"/>
                  <a:srcRect/>
                  <a:stretch>
                    <a:fillRect/>
                  </a:stretch>
                </pic:blipFill>
                <pic:spPr>
                  <a:xfrm>
                    <a:off x="0" y="0"/>
                    <a:ext cx="1033145" cy="654685"/>
                  </a:xfrm>
                  <a:prstGeom prst="rect">
                    <a:avLst/>
                  </a:prstGeom>
                  <a:ln/>
                </pic:spPr>
              </pic:pic>
            </a:graphicData>
          </a:graphic>
        </wp:anchor>
      </w:drawing>
    </w:r>
  </w:p>
  <w:p w14:paraId="76FE8411" w14:textId="77777777" w:rsidR="00600F0C" w:rsidRPr="00E558F7" w:rsidRDefault="00E558F7">
    <w:pPr>
      <w:ind w:right="-374"/>
      <w:rPr>
        <w:rFonts w:ascii="Calibri" w:eastAsia="Calibri" w:hAnsi="Calibri" w:cs="Calibri"/>
        <w:lang w:val="en-US"/>
      </w:rPr>
    </w:pPr>
    <w:r w:rsidRPr="00E558F7">
      <w:rPr>
        <w:rFonts w:ascii="Calibri" w:eastAsia="Calibri" w:hAnsi="Calibri" w:cs="Calibri"/>
        <w:lang w:val="en-US"/>
      </w:rPr>
      <w:t>PR-imc-180</w:t>
    </w:r>
    <w:r w:rsidR="00AE5137">
      <w:rPr>
        <w:rFonts w:ascii="Calibri" w:eastAsia="Calibri" w:hAnsi="Calibri" w:cs="Calibri"/>
        <w:lang w:val="en-US"/>
      </w:rPr>
      <w:t>5</w:t>
    </w:r>
    <w:r w:rsidRPr="00E558F7">
      <w:rPr>
        <w:rFonts w:ascii="Calibri" w:eastAsia="Calibri" w:hAnsi="Calibri" w:cs="Calibri"/>
        <w:lang w:val="en-US"/>
      </w:rPr>
      <w:t xml:space="preserve"> for immediate release</w:t>
    </w:r>
  </w:p>
  <w:p w14:paraId="1D1D8A6C" w14:textId="77777777" w:rsidR="00600F0C" w:rsidRDefault="00874611">
    <w:pPr>
      <w:pBdr>
        <w:top w:val="nil"/>
        <w:left w:val="nil"/>
        <w:bottom w:val="nil"/>
        <w:right w:val="nil"/>
        <w:between w:val="nil"/>
      </w:pBdr>
      <w:tabs>
        <w:tab w:val="center" w:pos="4536"/>
        <w:tab w:val="right" w:pos="9072"/>
      </w:tabs>
      <w:rPr>
        <w:color w:val="000000"/>
      </w:rPr>
    </w:pPr>
    <w:r>
      <w:rPr>
        <w:noProof/>
        <w:lang w:val="en-US" w:eastAsia="en-US"/>
      </w:rPr>
      <mc:AlternateContent>
        <mc:Choice Requires="wps">
          <w:drawing>
            <wp:anchor distT="0" distB="0" distL="114300" distR="114300" simplePos="0" relativeHeight="251659264" behindDoc="0" locked="0" layoutInCell="1" hidden="0" allowOverlap="1" wp14:anchorId="1AFC91C5" wp14:editId="6670EE95">
              <wp:simplePos x="0" y="0"/>
              <wp:positionH relativeFrom="margin">
                <wp:posOffset>114300</wp:posOffset>
              </wp:positionH>
              <wp:positionV relativeFrom="paragraph">
                <wp:posOffset>0</wp:posOffset>
              </wp:positionV>
              <wp:extent cx="12700" cy="12700"/>
              <wp:effectExtent l="0" t="0" r="0" b="0"/>
              <wp:wrapNone/>
              <wp:docPr id="2" name="Gerade Verbindung mit Pfeil 2"/>
              <wp:cNvGraphicFramePr/>
              <a:graphic xmlns:a="http://schemas.openxmlformats.org/drawingml/2006/main">
                <a:graphicData uri="http://schemas.microsoft.com/office/word/2010/wordprocessingShape">
                  <wps:wsp>
                    <wps:cNvCnPr/>
                    <wps:spPr>
                      <a:xfrm rot="10800000">
                        <a:off x="5359970" y="3876520"/>
                        <a:ext cx="5760085" cy="0"/>
                      </a:xfrm>
                      <a:prstGeom prst="straightConnector1">
                        <a:avLst/>
                      </a:prstGeom>
                      <a:solidFill>
                        <a:srgbClr val="FFFFFF"/>
                      </a:solidFill>
                      <a:ln w="9525" cap="flat" cmpd="sng">
                        <a:solidFill>
                          <a:srgbClr val="004687"/>
                        </a:solidFill>
                        <a:prstDash val="solid"/>
                        <a:round/>
                        <a:headEnd type="none" w="sm" len="sm"/>
                        <a:tailEnd type="none" w="sm" len="sm"/>
                      </a:ln>
                    </wps:spPr>
                    <wps:bodyPr/>
                  </wps:wsp>
                </a:graphicData>
              </a:graphic>
            </wp:anchor>
          </w:drawing>
        </mc:Choice>
        <mc:Fallback>
          <w:pict>
            <v:shapetype w14:anchorId="11F7F050" id="_x0000_t32" coordsize="21600,21600" o:spt="32" o:oned="t" path="m,l21600,21600e" filled="f">
              <v:path arrowok="t" fillok="f" o:connecttype="none"/>
              <o:lock v:ext="edit" shapetype="t"/>
            </v:shapetype>
            <v:shape id="Gerade Verbindung mit Pfeil 2" o:spid="_x0000_s1026" type="#_x0000_t32" style="position:absolute;margin-left:9pt;margin-top:0;width:1pt;height:1pt;rotation:180;z-index:251659264;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" filled="t" strokecolor="#004687">
              <v:stroke startarrowwidth="narrow" startarrowlength="short" endarrowwidth="narrow" endarrowlength="short"/>
              <w10:wrap anchorx="margin"/>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0F0C"/>
    <w:rsid w:val="00030239"/>
    <w:rsid w:val="000919E4"/>
    <w:rsid w:val="001159FB"/>
    <w:rsid w:val="00143BE0"/>
    <w:rsid w:val="002250D1"/>
    <w:rsid w:val="002B5238"/>
    <w:rsid w:val="00355AA1"/>
    <w:rsid w:val="00456442"/>
    <w:rsid w:val="005075F2"/>
    <w:rsid w:val="00594856"/>
    <w:rsid w:val="005E1F60"/>
    <w:rsid w:val="00600F0C"/>
    <w:rsid w:val="0066787D"/>
    <w:rsid w:val="00672FDC"/>
    <w:rsid w:val="006D0A4F"/>
    <w:rsid w:val="00856415"/>
    <w:rsid w:val="00874611"/>
    <w:rsid w:val="0090225D"/>
    <w:rsid w:val="00AE5137"/>
    <w:rsid w:val="00AF0C2F"/>
    <w:rsid w:val="00B56B6E"/>
    <w:rsid w:val="00BF4F78"/>
    <w:rsid w:val="00C178BC"/>
    <w:rsid w:val="00C21BE4"/>
    <w:rsid w:val="00D21999"/>
    <w:rsid w:val="00D26DAE"/>
    <w:rsid w:val="00E558F7"/>
    <w:rsid w:val="00F076B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18E72BE"/>
  <w15:docId w15:val="{66164C89-FF3C-4D1B-8643-3A12C9945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 York" w:eastAsia="New York" w:hAnsi="New York" w:cs="New York"/>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paragraph" w:styleId="berschrift1">
    <w:name w:val="heading 1"/>
    <w:basedOn w:val="Standard"/>
    <w:next w:val="Standard"/>
    <w:pPr>
      <w:keepNext/>
      <w:spacing w:before="240" w:after="60"/>
      <w:outlineLvl w:val="0"/>
    </w:pPr>
    <w:rPr>
      <w:rFonts w:ascii="Cambria" w:eastAsia="Cambria" w:hAnsi="Cambria" w:cs="Cambria"/>
      <w:b/>
      <w:sz w:val="32"/>
      <w:szCs w:val="32"/>
    </w:rPr>
  </w:style>
  <w:style w:type="paragraph" w:styleId="berschrift2">
    <w:name w:val="heading 2"/>
    <w:basedOn w:val="Standard"/>
    <w:next w:val="Standard"/>
    <w:pPr>
      <w:keepNext/>
      <w:keepLines/>
      <w:spacing w:before="360" w:after="80"/>
      <w:outlineLvl w:val="1"/>
    </w:pPr>
    <w:rPr>
      <w:b/>
      <w:sz w:val="36"/>
      <w:szCs w:val="36"/>
    </w:rPr>
  </w:style>
  <w:style w:type="paragraph" w:styleId="berschrift3">
    <w:name w:val="heading 3"/>
    <w:basedOn w:val="Standard"/>
    <w:next w:val="Standard"/>
    <w:pPr>
      <w:keepNext/>
      <w:keepLines/>
      <w:spacing w:before="40"/>
      <w:outlineLvl w:val="2"/>
    </w:pPr>
    <w:rPr>
      <w:rFonts w:ascii="Cambria" w:eastAsia="Cambria" w:hAnsi="Cambria" w:cs="Cambria"/>
      <w:color w:val="243F61"/>
    </w:rPr>
  </w:style>
  <w:style w:type="paragraph" w:styleId="berschrift4">
    <w:name w:val="heading 4"/>
    <w:basedOn w:val="Standard"/>
    <w:next w:val="Standard"/>
    <w:pPr>
      <w:keepNext/>
      <w:keepLines/>
      <w:spacing w:before="240" w:after="40"/>
      <w:outlineLvl w:val="3"/>
    </w:pPr>
    <w:rPr>
      <w:b/>
    </w:rPr>
  </w:style>
  <w:style w:type="paragraph" w:styleId="berschrift5">
    <w:name w:val="heading 5"/>
    <w:basedOn w:val="Standard"/>
    <w:next w:val="Standard"/>
    <w:pPr>
      <w:keepNext/>
      <w:keepLines/>
      <w:spacing w:before="220" w:after="40"/>
      <w:outlineLvl w:val="4"/>
    </w:pPr>
    <w:rPr>
      <w:b/>
      <w:sz w:val="22"/>
      <w:szCs w:val="22"/>
    </w:rPr>
  </w:style>
  <w:style w:type="paragraph" w:styleId="berschrift6">
    <w:name w:val="heading 6"/>
    <w:basedOn w:val="Standard"/>
    <w:next w:val="Standard"/>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ind w:right="-374"/>
      <w:jc w:val="center"/>
    </w:pPr>
    <w:rPr>
      <w:rFonts w:ascii="Arial" w:eastAsia="Arial" w:hAnsi="Arial" w:cs="Arial"/>
      <w:b/>
      <w:sz w:val="72"/>
      <w:szCs w:val="72"/>
    </w:rPr>
  </w:style>
  <w:style w:type="paragraph" w:styleId="Untertitel">
    <w:name w:val="Subtitle"/>
    <w:basedOn w:val="Standard"/>
    <w:next w:val="Standard"/>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paragraph" w:styleId="Sprechblasentext">
    <w:name w:val="Balloon Text"/>
    <w:basedOn w:val="Standard"/>
    <w:link w:val="SprechblasentextZchn"/>
    <w:uiPriority w:val="99"/>
    <w:semiHidden/>
    <w:unhideWhenUsed/>
    <w:rsid w:val="002B523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B5238"/>
    <w:rPr>
      <w:rFonts w:ascii="Tahoma" w:hAnsi="Tahoma" w:cs="Tahoma"/>
      <w:sz w:val="16"/>
      <w:szCs w:val="16"/>
    </w:rPr>
  </w:style>
  <w:style w:type="paragraph" w:styleId="Kopfzeile">
    <w:name w:val="header"/>
    <w:basedOn w:val="Standard"/>
    <w:link w:val="KopfzeileZchn"/>
    <w:uiPriority w:val="99"/>
    <w:unhideWhenUsed/>
    <w:rsid w:val="00E558F7"/>
    <w:pPr>
      <w:tabs>
        <w:tab w:val="center" w:pos="4703"/>
        <w:tab w:val="right" w:pos="9406"/>
      </w:tabs>
    </w:pPr>
  </w:style>
  <w:style w:type="character" w:customStyle="1" w:styleId="KopfzeileZchn">
    <w:name w:val="Kopfzeile Zchn"/>
    <w:basedOn w:val="Absatz-Standardschriftart"/>
    <w:link w:val="Kopfzeile"/>
    <w:uiPriority w:val="99"/>
    <w:rsid w:val="00E558F7"/>
  </w:style>
  <w:style w:type="paragraph" w:styleId="Fuzeile">
    <w:name w:val="footer"/>
    <w:basedOn w:val="Standard"/>
    <w:link w:val="FuzeileZchn"/>
    <w:uiPriority w:val="99"/>
    <w:unhideWhenUsed/>
    <w:rsid w:val="00E558F7"/>
    <w:pPr>
      <w:tabs>
        <w:tab w:val="center" w:pos="4703"/>
        <w:tab w:val="right" w:pos="9406"/>
      </w:tabs>
    </w:pPr>
  </w:style>
  <w:style w:type="character" w:customStyle="1" w:styleId="FuzeileZchn">
    <w:name w:val="Fußzeile Zchn"/>
    <w:basedOn w:val="Absatz-Standardschriftart"/>
    <w:link w:val="Fuzeile"/>
    <w:uiPriority w:val="99"/>
    <w:rsid w:val="00E558F7"/>
  </w:style>
  <w:style w:type="character" w:styleId="Hyperlink">
    <w:name w:val="Hyperlink"/>
    <w:basedOn w:val="Absatz-Standardschriftart"/>
    <w:uiPriority w:val="99"/>
    <w:unhideWhenUsed/>
    <w:rsid w:val="00E558F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mailto:nils.becker@imc-frankfurt.de" TargetMode="External"/><Relationship Id="rId2" Type="http://schemas.openxmlformats.org/officeDocument/2006/relationships/hyperlink" Target="http://www.imc-berlin.com" TargetMode="External"/><Relationship Id="rId1" Type="http://schemas.openxmlformats.org/officeDocument/2006/relationships/hyperlink" Target="mailto:hotline@imc-berli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676</Words>
  <Characters>3744</Characters>
  <Application>Microsoft Office Word</Application>
  <DocSecurity>0</DocSecurity>
  <Lines>58</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 MTP-NT</dc:title>
  <dc:creator>Nils Becker;Jerrod Woodruff</dc:creator>
  <cp:lastModifiedBy>Caroline Gabbert</cp:lastModifiedBy>
  <cp:revision>7</cp:revision>
  <cp:lastPrinted>2023-11-24T09:20:00Z</cp:lastPrinted>
  <dcterms:created xsi:type="dcterms:W3CDTF">2018-07-04T06:18:00Z</dcterms:created>
  <dcterms:modified xsi:type="dcterms:W3CDTF">2023-11-24T09:27:00Z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a0a84bd79e3eed409663b8fae67b6f519fe3d71143a9bbdbb8c6604a2cbc92f7</vt:lpwstr>
  </property>
</Properties>
</file>